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140" w14:textId="77777777" w:rsidR="00B37775" w:rsidRDefault="00000000">
      <w:pPr>
        <w:pStyle w:val="Styl1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Vyúčtování akce KČT Poděbrady</w:t>
      </w:r>
    </w:p>
    <w:p w14:paraId="22E2AF5D" w14:textId="77777777" w:rsidR="00B37775" w:rsidRDefault="0000000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Název akce: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</w:p>
    <w:p w14:paraId="6D6E57D4" w14:textId="77777777" w:rsidR="00B37775" w:rsidRDefault="0000000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Datum: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Vedoucí: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 xml:space="preserve">     Počet km:</w:t>
      </w:r>
    </w:p>
    <w:p w14:paraId="3D2C4013" w14:textId="77777777" w:rsidR="00B37775" w:rsidRDefault="00B37775">
      <w:pPr>
        <w:rPr>
          <w:rFonts w:ascii="Arial Black" w:hAnsi="Arial Black"/>
          <w:b/>
          <w:sz w:val="28"/>
          <w:szCs w:val="28"/>
        </w:rPr>
      </w:pPr>
    </w:p>
    <w:tbl>
      <w:tblPr>
        <w:tblStyle w:val="Mkatabulky"/>
        <w:tblW w:w="97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5"/>
        <w:gridCol w:w="2604"/>
        <w:gridCol w:w="2388"/>
        <w:gridCol w:w="1068"/>
        <w:gridCol w:w="973"/>
        <w:gridCol w:w="1128"/>
        <w:gridCol w:w="970"/>
      </w:tblGrid>
      <w:tr w:rsidR="00B37775" w14:paraId="512A1272" w14:textId="77777777" w:rsidTr="008468E7">
        <w:tc>
          <w:tcPr>
            <w:tcW w:w="624" w:type="dxa"/>
            <w:vMerge w:val="restart"/>
            <w:tcBorders>
              <w:bottom w:val="single" w:sz="1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A2EDA5" w14:textId="77777777" w:rsidR="00B37775" w:rsidRDefault="00000000">
            <w:pPr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604" w:type="dxa"/>
            <w:vMerge w:val="restart"/>
            <w:tcBorders>
              <w:left w:val="single" w:sz="4" w:space="0" w:color="auto"/>
              <w:bottom w:val="single" w:sz="18" w:space="0" w:color="000001"/>
              <w:right w:val="single" w:sz="24" w:space="0" w:color="000000"/>
            </w:tcBorders>
            <w:shd w:val="clear" w:color="auto" w:fill="auto"/>
            <w:tcMar>
              <w:left w:w="62" w:type="dxa"/>
            </w:tcMar>
          </w:tcPr>
          <w:p w14:paraId="3683BD7E" w14:textId="77777777" w:rsidR="00B37775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Jméno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účastníka</w:t>
            </w:r>
            <w:proofErr w:type="spellEnd"/>
          </w:p>
        </w:tc>
        <w:tc>
          <w:tcPr>
            <w:tcW w:w="2388" w:type="dxa"/>
            <w:vMerge w:val="restart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left w:w="44" w:type="dxa"/>
            </w:tcMar>
          </w:tcPr>
          <w:p w14:paraId="7709497C" w14:textId="77777777" w:rsidR="00B37775" w:rsidRPr="005C460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5C460D">
              <w:rPr>
                <w:b/>
                <w:bCs/>
                <w:sz w:val="28"/>
                <w:szCs w:val="28"/>
              </w:rPr>
              <w:t>Jízdenky</w:t>
            </w:r>
            <w:proofErr w:type="spellEnd"/>
          </w:p>
          <w:p w14:paraId="3A551B86" w14:textId="77777777" w:rsidR="00B3777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jednotlivé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ceny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4" w:type="dxa"/>
            </w:tcMar>
          </w:tcPr>
          <w:p w14:paraId="6E0DB8B9" w14:textId="77777777" w:rsidR="00B37775" w:rsidRDefault="00000000">
            <w:r>
              <w:rPr>
                <w:b/>
                <w:sz w:val="26"/>
                <w:szCs w:val="26"/>
              </w:rPr>
              <w:t xml:space="preserve">       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        </w:t>
            </w:r>
            <w:proofErr w:type="spellStart"/>
            <w:r>
              <w:t>Součet</w:t>
            </w:r>
            <w:proofErr w:type="spellEnd"/>
            <w:r>
              <w:t xml:space="preserve">                                                                                                                    </w:t>
            </w:r>
          </w:p>
        </w:tc>
        <w:tc>
          <w:tcPr>
            <w:tcW w:w="3071" w:type="dxa"/>
            <w:gridSpan w:val="3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F747144" w14:textId="77777777" w:rsidR="00B37775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Vyplaceno</w:t>
            </w:r>
            <w:proofErr w:type="spellEnd"/>
          </w:p>
        </w:tc>
      </w:tr>
      <w:tr w:rsidR="00B37775" w14:paraId="0C708FA3" w14:textId="77777777" w:rsidTr="008468E7">
        <w:tc>
          <w:tcPr>
            <w:tcW w:w="624" w:type="dxa"/>
            <w:vMerge/>
            <w:tcBorders>
              <w:top w:val="single" w:sz="4" w:space="0" w:color="auto"/>
              <w:bottom w:val="single" w:sz="18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1289F6" w14:textId="77777777" w:rsidR="00B37775" w:rsidRDefault="00B37775">
            <w:pPr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top w:val="single" w:sz="24" w:space="0" w:color="000000"/>
              <w:left w:val="single" w:sz="4" w:space="0" w:color="auto"/>
              <w:bottom w:val="single" w:sz="18" w:space="0" w:color="000001"/>
              <w:right w:val="single" w:sz="24" w:space="0" w:color="000000"/>
            </w:tcBorders>
            <w:shd w:val="clear" w:color="auto" w:fill="auto"/>
            <w:tcMar>
              <w:left w:w="62" w:type="dxa"/>
            </w:tcMar>
          </w:tcPr>
          <w:p w14:paraId="20438773" w14:textId="77777777" w:rsidR="00B37775" w:rsidRDefault="00B37775">
            <w:pPr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top w:val="single" w:sz="24" w:space="0" w:color="000000"/>
              <w:left w:val="single" w:sz="24" w:space="0" w:color="000000"/>
              <w:bottom w:val="single" w:sz="18" w:space="0" w:color="000001"/>
              <w:right w:val="single" w:sz="4" w:space="0" w:color="auto"/>
            </w:tcBorders>
            <w:shd w:val="clear" w:color="auto" w:fill="auto"/>
            <w:tcMar>
              <w:left w:w="44" w:type="dxa"/>
            </w:tcMar>
          </w:tcPr>
          <w:p w14:paraId="59AFFB87" w14:textId="77777777" w:rsidR="00B37775" w:rsidRDefault="00B37775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1"/>
              <w:right w:val="single" w:sz="24" w:space="0" w:color="000001"/>
            </w:tcBorders>
            <w:shd w:val="clear" w:color="auto" w:fill="auto"/>
            <w:tcMar>
              <w:left w:w="44" w:type="dxa"/>
            </w:tcMar>
          </w:tcPr>
          <w:p w14:paraId="4F513F16" w14:textId="77777777" w:rsidR="00B37775" w:rsidRDefault="00B37775">
            <w:pPr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18" w:space="0" w:color="000001"/>
              <w:left w:val="single" w:sz="2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AEE0F0C" w14:textId="77777777" w:rsidR="00B37775" w:rsidRDefault="00000000"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Jízdné</w:t>
            </w:r>
            <w:proofErr w:type="spellEnd"/>
          </w:p>
          <w:p w14:paraId="19C43A52" w14:textId="77777777" w:rsidR="00B37775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dle</w:t>
            </w:r>
            <w:proofErr w:type="spellEnd"/>
            <w:r>
              <w:rPr>
                <w:bCs/>
                <w:sz w:val="22"/>
                <w:szCs w:val="22"/>
              </w:rPr>
              <w:t xml:space="preserve"> tab.°</w:t>
            </w:r>
          </w:p>
        </w:tc>
        <w:tc>
          <w:tcPr>
            <w:tcW w:w="1128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FE121D" w14:textId="77777777" w:rsidR="00B3777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Jednotl</w:t>
            </w:r>
            <w:proofErr w:type="spellEnd"/>
            <w:r>
              <w:rPr>
                <w:bCs/>
                <w:sz w:val="22"/>
                <w:szCs w:val="22"/>
              </w:rPr>
              <w:t xml:space="preserve">.             </w:t>
            </w:r>
          </w:p>
          <w:p w14:paraId="0909B077" w14:textId="77777777" w:rsidR="00B3777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vstupné</w:t>
            </w:r>
            <w:proofErr w:type="spellEnd"/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70" w:type="dxa"/>
            <w:tcBorders>
              <w:top w:val="single" w:sz="18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98" w:type="dxa"/>
            </w:tcMar>
          </w:tcPr>
          <w:p w14:paraId="53C3751C" w14:textId="77777777" w:rsidR="00B37775" w:rsidRDefault="00000000">
            <w:pPr>
              <w:jc w:val="center"/>
            </w:pPr>
            <w:proofErr w:type="spellStart"/>
            <w:r>
              <w:rPr>
                <w:bCs/>
              </w:rPr>
              <w:t>Celkem</w:t>
            </w:r>
            <w:proofErr w:type="spellEnd"/>
          </w:p>
        </w:tc>
      </w:tr>
      <w:tr w:rsidR="00B37775" w14:paraId="6F8C663C" w14:textId="77777777" w:rsidTr="00855F54">
        <w:tc>
          <w:tcPr>
            <w:tcW w:w="624" w:type="dxa"/>
            <w:tcBorders>
              <w:top w:val="single" w:sz="18" w:space="0" w:color="000001"/>
            </w:tcBorders>
            <w:shd w:val="clear" w:color="auto" w:fill="auto"/>
            <w:tcMar>
              <w:left w:w="98" w:type="dxa"/>
            </w:tcMar>
          </w:tcPr>
          <w:p w14:paraId="5543193C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04" w:type="dxa"/>
            <w:tcBorders>
              <w:top w:val="single" w:sz="18" w:space="0" w:color="000001"/>
            </w:tcBorders>
            <w:shd w:val="clear" w:color="auto" w:fill="auto"/>
            <w:tcMar>
              <w:left w:w="98" w:type="dxa"/>
            </w:tcMar>
          </w:tcPr>
          <w:p w14:paraId="0A2BF56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18" w:space="0" w:color="000001"/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724BC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sz="18" w:space="0" w:color="000001"/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62D1150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18" w:space="0" w:color="000001"/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0A21DA8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18" w:space="0" w:color="000001"/>
            </w:tcBorders>
            <w:shd w:val="clear" w:color="auto" w:fill="auto"/>
            <w:tcMar>
              <w:left w:w="98" w:type="dxa"/>
            </w:tcMar>
          </w:tcPr>
          <w:p w14:paraId="4FC882F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000001"/>
            </w:tcBorders>
            <w:shd w:val="clear" w:color="auto" w:fill="auto"/>
            <w:tcMar>
              <w:left w:w="98" w:type="dxa"/>
            </w:tcMar>
          </w:tcPr>
          <w:p w14:paraId="5A544FF6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1EA2B789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83AEBC7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774255C" w14:textId="77777777" w:rsidR="00B37775" w:rsidRDefault="00B37775">
            <w:pPr>
              <w:ind w:firstLine="708"/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C9FBD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8CF0A2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59C6141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1EFED6C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31838C1B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19836F1E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6367C06F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1E4E4EF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38687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380C9E6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5725DB5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625B7C9A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6AC81967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7DC8B471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624A9E8C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63B15A1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DA208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3C1E1A9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69EF7E0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23C3BF7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27944285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55B31AB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17BF41DF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1F4ED45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E35D12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61A55EB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202F905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5BC1F94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3B8418AB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17BAFD7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53156421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76AF2AEA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0E468C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73B5464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0C56987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7124ED5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30B12A92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5488174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B9B145F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76985AA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63975B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564E43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5A93CE7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7363DBA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8EE999E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5BB9C021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03F26A5F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5E774F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7FC36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0F78612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833A5A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1066D00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346BC7C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36757714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000C9F17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7F3FD47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C6283A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230228A4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24DDE0D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6F065F1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627B7CF4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228C3E2A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53661D52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F7FB194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CC25A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22CC411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0E9102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581C8B7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A2041E1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20D5E85C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9399A89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31EA6C5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4AEEB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AB5BE2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494C8A7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1868450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732D02EB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2CE450BE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493FD5FB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3100DFB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94428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7C9325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C9C689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3765BC9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50145EC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2E8148D7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4DFA52FA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174E256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FCA49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64266E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0C7395E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494A5F7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453C1F15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77FB1EB5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30D41C46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544D7DCC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DFE92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8015D0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075AD52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42AFD31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6E4213B6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35796D7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7D5EDAD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650C03A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F4F69C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08A58974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5196E54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24E5DEB5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219D9568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0E3381A6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0E69D217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CAD7DF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6C7579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5878C97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2CD5093C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03D00F14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FDF224B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4D48ABF3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69016E15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76E8FEF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8ADDD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616D684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3D46709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52593F6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44E2D66B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06DD4BE7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7F96463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358D255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DF8DA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5549CE8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0B84035C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62819864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20C02878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762B6572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2B59B41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3C12119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3A776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0A0342D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3A283A8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345B0425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22BADFE0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7F7E79BA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9DFB4C8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16274BE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9892E5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0448463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63B987F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5FA1D11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5DE04330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4B17823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3210C6FD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48AE997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D428E5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2D5AD80D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11F32B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74E9F8C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4EF93FF5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01DCEC1B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5FEBDE4F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76BC647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6765C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7DB750E3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7CA7020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2E04F625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0F63C72E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6E738408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135A8AB9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1388968E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048AAB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B48AE1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4E4B9ED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4618986F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389CB25E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3362D1EE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609D1679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05740BA2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EEFA00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1DF9BC07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10AF0CD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268C8C11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78E63A98" w14:textId="77777777" w:rsidR="00B37775" w:rsidRDefault="00B37775">
            <w:pPr>
              <w:rPr>
                <w:sz w:val="32"/>
                <w:szCs w:val="32"/>
              </w:rPr>
            </w:pPr>
          </w:p>
        </w:tc>
      </w:tr>
      <w:tr w:rsidR="00B37775" w14:paraId="2F5FB0B5" w14:textId="77777777" w:rsidTr="00855F54">
        <w:tc>
          <w:tcPr>
            <w:tcW w:w="624" w:type="dxa"/>
            <w:shd w:val="clear" w:color="auto" w:fill="auto"/>
            <w:tcMar>
              <w:left w:w="98" w:type="dxa"/>
            </w:tcMar>
          </w:tcPr>
          <w:p w14:paraId="711C62E9" w14:textId="77777777" w:rsidR="00B37775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604" w:type="dxa"/>
            <w:shd w:val="clear" w:color="auto" w:fill="auto"/>
            <w:tcMar>
              <w:left w:w="98" w:type="dxa"/>
            </w:tcMar>
          </w:tcPr>
          <w:p w14:paraId="690B8179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2388" w:type="dxa"/>
            <w:tcBorders>
              <w:left w:val="single" w:sz="24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72F078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24" w:space="0" w:color="000001"/>
            </w:tcBorders>
            <w:shd w:val="clear" w:color="auto" w:fill="auto"/>
            <w:tcMar>
              <w:left w:w="48" w:type="dxa"/>
            </w:tcMar>
          </w:tcPr>
          <w:p w14:paraId="498032EA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  <w:tcBorders>
              <w:left w:val="single" w:sz="24" w:space="0" w:color="000001"/>
            </w:tcBorders>
            <w:shd w:val="clear" w:color="auto" w:fill="auto"/>
            <w:tcMar>
              <w:left w:w="23" w:type="dxa"/>
            </w:tcMar>
          </w:tcPr>
          <w:p w14:paraId="562E16A5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tcMar>
              <w:left w:w="98" w:type="dxa"/>
            </w:tcMar>
          </w:tcPr>
          <w:p w14:paraId="41279766" w14:textId="77777777" w:rsidR="00B37775" w:rsidRDefault="00B37775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  <w:shd w:val="clear" w:color="auto" w:fill="auto"/>
            <w:tcMar>
              <w:left w:w="98" w:type="dxa"/>
            </w:tcMar>
          </w:tcPr>
          <w:p w14:paraId="26E80DA1" w14:textId="77777777" w:rsidR="00B37775" w:rsidRDefault="00B37775">
            <w:pPr>
              <w:rPr>
                <w:sz w:val="32"/>
                <w:szCs w:val="32"/>
              </w:rPr>
            </w:pPr>
          </w:p>
        </w:tc>
      </w:tr>
    </w:tbl>
    <w:p w14:paraId="050AD3B8" w14:textId="77777777" w:rsidR="00B37775" w:rsidRDefault="00000000">
      <w:r>
        <w:rPr>
          <w:sz w:val="20"/>
          <w:szCs w:val="20"/>
        </w:rPr>
        <w:t>* Hromadné vstupenky se uvádějí zvlášť na řádek pod jmény. Příspěvek na vstupné na 1 člena je max. 100,- Kč</w:t>
      </w:r>
    </w:p>
    <w:p w14:paraId="0B68E3A8" w14:textId="77777777" w:rsidR="00B37775" w:rsidRDefault="00000000">
      <w:pPr>
        <w:rPr>
          <w:sz w:val="22"/>
          <w:szCs w:val="22"/>
        </w:rPr>
      </w:pPr>
      <w:r>
        <w:rPr>
          <w:sz w:val="22"/>
          <w:szCs w:val="22"/>
        </w:rPr>
        <w:t>°</w:t>
      </w:r>
      <w:proofErr w:type="gramStart"/>
      <w:r>
        <w:rPr>
          <w:sz w:val="22"/>
          <w:szCs w:val="22"/>
        </w:rPr>
        <w:t xml:space="preserve">Tabulka:   </w:t>
      </w:r>
      <w:proofErr w:type="gramEnd"/>
      <w:r>
        <w:rPr>
          <w:sz w:val="22"/>
          <w:szCs w:val="22"/>
        </w:rPr>
        <w:t xml:space="preserve">    součet jízdného      0 – 59,- Kč        60,- - 79,- Kč          80,- - 99,- Kč       100,- a více Kč</w:t>
      </w:r>
    </w:p>
    <w:p w14:paraId="51F26525" w14:textId="77777777" w:rsidR="00B3777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příspěvek ve výši        0                          30,- Kč                     40,- Kč                  50,- Kč</w:t>
      </w:r>
    </w:p>
    <w:p w14:paraId="5B1F105C" w14:textId="77777777" w:rsidR="00B37775" w:rsidRDefault="00B37775">
      <w:pPr>
        <w:rPr>
          <w:sz w:val="20"/>
          <w:szCs w:val="20"/>
        </w:rPr>
      </w:pPr>
    </w:p>
    <w:p w14:paraId="51C3840B" w14:textId="77777777" w:rsidR="00B37775" w:rsidRDefault="00000000">
      <w:r>
        <w:rPr>
          <w:sz w:val="20"/>
          <w:szCs w:val="20"/>
        </w:rPr>
        <w:t xml:space="preserve"> </w:t>
      </w:r>
    </w:p>
    <w:p w14:paraId="54AD860B" w14:textId="77777777" w:rsidR="00B37775" w:rsidRDefault="00B37775">
      <w:pPr>
        <w:rPr>
          <w:sz w:val="20"/>
          <w:szCs w:val="20"/>
        </w:rPr>
      </w:pPr>
    </w:p>
    <w:p w14:paraId="1FFC2AFD" w14:textId="77777777" w:rsidR="00B37775" w:rsidRDefault="00000000">
      <w:r>
        <w:t>V Poděbradech dne:</w:t>
      </w:r>
      <w:r>
        <w:tab/>
      </w:r>
      <w:r>
        <w:tab/>
      </w:r>
      <w:r>
        <w:tab/>
      </w:r>
      <w:r>
        <w:tab/>
      </w:r>
      <w:r>
        <w:tab/>
        <w:t xml:space="preserve">Podpis vedoucí(ho) akce: </w:t>
      </w:r>
    </w:p>
    <w:sectPr w:rsidR="00B3777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75"/>
    <w:rsid w:val="005C460D"/>
    <w:rsid w:val="008468E7"/>
    <w:rsid w:val="00855F54"/>
    <w:rsid w:val="00B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00E"/>
  <w15:docId w15:val="{5A298E9E-64B6-4014-B0B6-48AB428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615"/>
    <w:rPr>
      <w:rFonts w:ascii="Times New Roman" w:hAnsi="Times New Roman"/>
      <w:color w:val="00000A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1">
    <w:name w:val="Styl1"/>
    <w:basedOn w:val="Normln"/>
    <w:qFormat/>
    <w:rsid w:val="00F65615"/>
  </w:style>
  <w:style w:type="paragraph" w:styleId="Odstavecseseznamem">
    <w:name w:val="List Paragraph"/>
    <w:basedOn w:val="Normln"/>
    <w:uiPriority w:val="34"/>
    <w:qFormat/>
    <w:rsid w:val="00F65615"/>
    <w:pPr>
      <w:ind w:left="720"/>
      <w:contextualSpacing/>
    </w:pPr>
  </w:style>
  <w:style w:type="table" w:styleId="Mkatabulky">
    <w:name w:val="Table Grid"/>
    <w:basedOn w:val="Normlntabulka"/>
    <w:uiPriority w:val="59"/>
    <w:rsid w:val="00F65615"/>
    <w:rPr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Kusák</dc:creator>
  <dc:description/>
  <cp:lastModifiedBy>Alexej Kusák</cp:lastModifiedBy>
  <cp:revision>10</cp:revision>
  <dcterms:created xsi:type="dcterms:W3CDTF">2022-10-27T18:25:00Z</dcterms:created>
  <dcterms:modified xsi:type="dcterms:W3CDTF">2023-01-04T18:04:00Z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